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Start w:id="1" w:name="_GoBack"/>
      <w:bookmarkEnd w:id="0"/>
      <w:bookmarkEnd w:id="1"/>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427464">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lastRenderedPageBreak/>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722D67">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722D67">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722D67">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722D67">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 xml:space="preserve">Конфиденциальность и безопасность-&gt; </w:t>
            </w:r>
            <w:r>
              <w:rPr>
                <w:rFonts w:ascii="Arial" w:eastAsia="Arial" w:hAnsi="Arial" w:cs="Arial"/>
                <w:i/>
                <w:sz w:val="24"/>
                <w:szCs w:val="24"/>
              </w:rPr>
              <w:lastRenderedPageBreak/>
              <w:t>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lastRenderedPageBreak/>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Необходимо закрыть все программы, которые могут использовать интернет-трафик в </w:t>
            </w:r>
            <w:r>
              <w:rPr>
                <w:rFonts w:ascii="Arial" w:eastAsia="Arial" w:hAnsi="Arial" w:cs="Arial"/>
                <w:sz w:val="24"/>
                <w:szCs w:val="24"/>
              </w:rPr>
              <w:lastRenderedPageBreak/>
              <w:t>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Выводится сообщение «Эта страница была открыта в 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Не передавайте свою ссылку на тестирование и идентификатор для входа в личный кабинет третьим лицам и не открывайте одну и ту же 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722D67">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722D67">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Выполнение заданий по физике, математике, информатике необходимо осуществить 12-13 марта 2022 года.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16 или 17 апреля 2022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Для начала выполнения заданий Олимпиады, как и в рамках пробного тестирования, участнику необходимо осуществить доступ в 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pPr>
        <w:numPr>
          <w:ilvl w:val="0"/>
          <w:numId w:val="5"/>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на кнопку «Прикрепить с телефона» - будет сгенерирован уникальный QR-код.</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pPr>
        <w:numPr>
          <w:ilvl w:val="1"/>
          <w:numId w:val="2"/>
        </w:num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67" w:rsidRDefault="00722D67">
      <w:pPr>
        <w:spacing w:after="0" w:line="240" w:lineRule="auto"/>
      </w:pPr>
      <w:r>
        <w:separator/>
      </w:r>
    </w:p>
  </w:endnote>
  <w:endnote w:type="continuationSeparator" w:id="0">
    <w:p w:rsidR="00722D67" w:rsidRDefault="0072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F43B3">
      <w:rPr>
        <w:noProof/>
        <w:color w:val="000000"/>
      </w:rPr>
      <w:t>1</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67" w:rsidRDefault="00722D67">
      <w:pPr>
        <w:spacing w:after="0" w:line="240" w:lineRule="auto"/>
      </w:pPr>
      <w:r>
        <w:separator/>
      </w:r>
    </w:p>
  </w:footnote>
  <w:footnote w:type="continuationSeparator" w:id="0">
    <w:p w:rsidR="00722D67" w:rsidRDefault="0072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427464"/>
    <w:rsid w:val="00722D67"/>
    <w:rsid w:val="007F6A1B"/>
    <w:rsid w:val="00EF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Мещерякова Оксана Валентиновна</cp:lastModifiedBy>
  <cp:revision>2</cp:revision>
  <dcterms:created xsi:type="dcterms:W3CDTF">2022-02-16T04:19:00Z</dcterms:created>
  <dcterms:modified xsi:type="dcterms:W3CDTF">2022-02-16T04:19:00Z</dcterms:modified>
</cp:coreProperties>
</file>